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right="5988"/>
        <w:jc w:val="center"/>
        <w:rPr>
          <w:b w:val="1"/>
          <w:sz w:val="28"/>
        </w:rPr>
      </w:pPr>
      <w:r>
        <w:rPr>
          <w:b w:val="1"/>
          <w:sz w:val="28"/>
        </w:rPr>
        <w:drawing>
          <wp:inline>
            <wp:extent cx="2522220" cy="1015364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2522220" cy="101536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3000000">
      <w:pPr>
        <w:ind/>
        <w:jc w:val="both"/>
        <w:rPr>
          <w:rFonts w:ascii="Segoe UI" w:hAnsi="Segoe UI"/>
          <w:i w:val="1"/>
        </w:rPr>
      </w:pPr>
    </w:p>
    <w:p w14:paraId="04000000">
      <w:pPr>
        <w:ind/>
        <w:jc w:val="both"/>
        <w:rPr>
          <w:rFonts w:ascii="Segoe UI" w:hAnsi="Segoe UI"/>
          <w:i w:val="1"/>
        </w:rPr>
      </w:pPr>
    </w:p>
    <w:p w14:paraId="05000000">
      <w:pPr>
        <w:ind/>
        <w:jc w:val="both"/>
        <w:rPr>
          <w:rFonts w:ascii="Segoe UI" w:hAnsi="Segoe UI"/>
          <w:i w:val="1"/>
        </w:rPr>
      </w:pPr>
    </w:p>
    <w:p w14:paraId="06000000">
      <w:pPr>
        <w:ind/>
        <w:jc w:val="center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 xml:space="preserve">Управление Росреестра по Нижегородской области </w:t>
      </w:r>
    </w:p>
    <w:p w14:paraId="07000000">
      <w:pPr>
        <w:ind/>
        <w:jc w:val="center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о размере госпошлины за регистрацию дополнительного соглашения к договору аренды</w:t>
      </w:r>
    </w:p>
    <w:p w14:paraId="08000000">
      <w:pPr>
        <w:ind/>
        <w:jc w:val="center"/>
        <w:rPr>
          <w:rFonts w:ascii="Segoe UI" w:hAnsi="Segoe UI"/>
          <w:b w:val="1"/>
          <w:sz w:val="32"/>
        </w:rPr>
      </w:pPr>
    </w:p>
    <w:p w14:paraId="09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Эффективное взаимодействие Управление Росреестра по Нижегородской области (далее – Управление) и МФЦ в целях повышения качества оказания государственных услуг населению является приоритетным направлением в работе структур.</w:t>
      </w:r>
    </w:p>
    <w:p w14:paraId="0A000000">
      <w:pPr>
        <w:ind/>
        <w:jc w:val="both"/>
        <w:rPr>
          <w:rFonts w:ascii="Segoe UI" w:hAnsi="Segoe UI"/>
        </w:rPr>
      </w:pPr>
    </w:p>
    <w:p w14:paraId="0B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Для этого Управлением координируется и отслеживается работа по каждому направлению в интересах граждан и участников рынка.</w:t>
      </w:r>
    </w:p>
    <w:p w14:paraId="0C000000">
      <w:pPr>
        <w:ind/>
        <w:jc w:val="both"/>
        <w:rPr>
          <w:rFonts w:ascii="Segoe UI" w:hAnsi="Segoe UI"/>
        </w:rPr>
      </w:pPr>
    </w:p>
    <w:p w14:paraId="0D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На практике возникают ситуации, когда регистраторы приостанавливают осуществление государственной регистрации прав в соответствии с частью 1 статьи 26 Федерального закона от 13.07.2015 N 218-ФЗ «О государственной регистрации недвижимости», а именно по причине уплаты заявителями государственной пошлины за государственную регистрацию дополнительного соглашения к договору аренды недвижимого имущества не в полном объеме.</w:t>
      </w:r>
    </w:p>
    <w:p w14:paraId="0E000000">
      <w:pPr>
        <w:ind/>
        <w:jc w:val="both"/>
        <w:rPr>
          <w:rFonts w:ascii="Segoe UI" w:hAnsi="Segoe UI"/>
        </w:rPr>
      </w:pPr>
    </w:p>
    <w:p w14:paraId="0F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Так как снижение количества приостановлений и отказов является одной из приоритетных задач, специалистами Управления было проведено обучение сотрудников офисов МФЦ, расположенных в г. Нижнем Новгороде и Нижегородской области.</w:t>
      </w:r>
    </w:p>
    <w:p w14:paraId="10000000">
      <w:pPr>
        <w:ind/>
        <w:jc w:val="both"/>
        <w:rPr>
          <w:rFonts w:ascii="Segoe UI" w:hAnsi="Segoe UI"/>
        </w:rPr>
      </w:pPr>
    </w:p>
    <w:p w14:paraId="11000000">
      <w:pPr>
        <w:ind/>
        <w:jc w:val="both"/>
        <w:rPr>
          <w:rFonts w:ascii="Segoe UI" w:hAnsi="Segoe UI"/>
          <w:b w:val="1"/>
        </w:rPr>
      </w:pPr>
      <w:r>
        <w:rPr>
          <w:rFonts w:ascii="Segoe UI" w:hAnsi="Segoe UI"/>
          <w:b w:val="1"/>
        </w:rPr>
        <w:t>В каком же размере необходимо оплачивать государственную пошлину при регистрации дополнительного соглашения к договору аренды недвижимого имущества?</w:t>
      </w:r>
    </w:p>
    <w:p w14:paraId="12000000">
      <w:pPr>
        <w:ind/>
        <w:contextualSpacing w:val="1"/>
        <w:jc w:val="both"/>
        <w:rPr>
          <w:rFonts w:ascii="Segoe UI" w:hAnsi="Segoe UI"/>
        </w:rPr>
      </w:pPr>
    </w:p>
    <w:p w14:paraId="13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В соответствии со статьей 34.2 Налогового кодекса Российской Федерации (далее – НК РФ), письмом Минфина России от 06.10.2020 №03-05-04-03/87113 (далее – письмо Минфина), даны разъяснения, касающиеся вопроса уплаты государственной пошлины за государственную регистрацию дополнительного соглашения к договору аренды недвижимого имущества.</w:t>
      </w:r>
    </w:p>
    <w:p w14:paraId="14000000">
      <w:pPr>
        <w:ind/>
        <w:contextualSpacing w:val="1"/>
        <w:jc w:val="both"/>
        <w:rPr>
          <w:rFonts w:ascii="Segoe UI" w:hAnsi="Segoe UI"/>
        </w:rPr>
      </w:pPr>
    </w:p>
    <w:p w14:paraId="15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Необходимость указанных разъяснений обусловлена тем, что Федеральным законом  от 29.09.2019 №325-ФЗ «О внесении изменений в части первую и вторую Налогового кодекса Российской Федерации» (далее – Закон №325-ФЗ) в подпункт 22 пункта 1 статьи 333.33 Налогово</w:t>
      </w:r>
      <w:r>
        <w:rPr>
          <w:rFonts w:ascii="Segoe UI" w:hAnsi="Segoe UI"/>
        </w:rPr>
        <w:t>го кодекса внесены изменения, согласно которым государственная пошлина в размере 22000 рублей уплачивается организациями не только за государственную регистрацию прав, ограничений прав и обременений объектов недвижимости, но и за государственную регистрацию сделок с объектом недвижимости, если такие сделки подлежат государственной регистрации в соответствии с федеральным законом. Аналогичные изменения внесены в подпункт 25 пункта 1 статьи 333.33 НК РФ применительно к государственной регистрации сделок с земельными участками из земель сельскохозяйственного назначения.</w:t>
      </w:r>
    </w:p>
    <w:p w14:paraId="16000000">
      <w:pPr>
        <w:ind/>
        <w:contextualSpacing w:val="1"/>
        <w:jc w:val="both"/>
        <w:rPr>
          <w:rFonts w:ascii="Segoe UI" w:hAnsi="Segoe UI"/>
        </w:rPr>
      </w:pPr>
    </w:p>
    <w:p w14:paraId="17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Изменения, предусмотренные Законом №325-ФЗ внесены в целях приведения отдельных положений главы 25.3 НК РФ в соответствие с Федеральным законом от 13.07.2015 №218-ФЗ «О государственной регистрации недвижимости» и вступили в силу с 1 января 2020 года.</w:t>
      </w:r>
    </w:p>
    <w:p w14:paraId="18000000">
      <w:pPr>
        <w:ind/>
        <w:contextualSpacing w:val="1"/>
        <w:jc w:val="both"/>
        <w:rPr>
          <w:rFonts w:ascii="Segoe UI" w:hAnsi="Segoe UI"/>
        </w:rPr>
      </w:pPr>
    </w:p>
    <w:p w14:paraId="19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Как следует из положений статей 164, 609 Гражданского кодекса, части 1 статьи 51 Федерального закона от 13.07.2015 №218-ФЗ «О государственной регистрации недвижимости», любое дополнительное соглашение к зарегистрированному договору аренды недвижимого имущества подлежит государственной регистрации. При этом при государственной регистрации дополнительных соглашений применяется тот же порядок, который установлен для государственной регистрации договора аренды недвижимого имущества.</w:t>
      </w:r>
    </w:p>
    <w:p w14:paraId="1A000000">
      <w:pPr>
        <w:ind/>
        <w:contextualSpacing w:val="1"/>
        <w:jc w:val="both"/>
        <w:rPr>
          <w:rFonts w:ascii="Segoe UI" w:hAnsi="Segoe UI"/>
        </w:rPr>
      </w:pPr>
    </w:p>
    <w:p w14:paraId="1B000000">
      <w:pPr>
        <w:ind/>
        <w:contextualSpacing w:val="1"/>
        <w:jc w:val="both"/>
        <w:rPr>
          <w:rFonts w:ascii="Segoe UI" w:hAnsi="Segoe UI"/>
        </w:rPr>
      </w:pPr>
      <w:r>
        <w:rPr>
          <w:rFonts w:ascii="Segoe UI" w:hAnsi="Segoe UI"/>
        </w:rPr>
        <w:t>Так, в письме Минфина России разъяснено, что с 1 января 2020 года за государственную регистрацию дополнительных соглашений к договорам аренды недвижимого имущества государственная пошлина уплачивается организациями в соответствии с подпунктом 22 пункта 1 статьи 333.33 НК РФ в размере 22000 рублей (или подпунктом 25 пункта 1 статьи 333.33 НК РФ в размере 350 рублей) в зависимости от вида объекта, являющегося предметом договора аренды. При этом положения подпункта 27 пункта 1 статьи 333.33 НК РФ не применяются.</w:t>
      </w:r>
    </w:p>
    <w:p w14:paraId="1C000000">
      <w:pPr>
        <w:ind/>
        <w:contextualSpacing w:val="1"/>
        <w:jc w:val="both"/>
        <w:rPr>
          <w:rFonts w:ascii="Segoe UI" w:hAnsi="Segoe UI"/>
        </w:rPr>
      </w:pPr>
    </w:p>
    <w:p w14:paraId="1D000000">
      <w:pPr>
        <w:ind/>
        <w:contextualSpacing w:val="1"/>
        <w:jc w:val="both"/>
        <w:rPr>
          <w:rFonts w:ascii="Segoe UI" w:hAnsi="Segoe UI"/>
        </w:rPr>
      </w:pPr>
    </w:p>
    <w:p w14:paraId="1E000000">
      <w:pPr>
        <w:ind/>
        <w:contextualSpacing w:val="1"/>
        <w:jc w:val="both"/>
        <w:rPr>
          <w:rFonts w:ascii="Segoe UI" w:hAnsi="Segoe UI"/>
        </w:rPr>
      </w:pPr>
    </w:p>
    <w:p w14:paraId="1F000000">
      <w:pPr>
        <w:ind/>
        <w:contextualSpacing w:val="1"/>
        <w:jc w:val="both"/>
        <w:rPr>
          <w:rFonts w:ascii="Segoe UI" w:hAnsi="Segoe UI"/>
        </w:rPr>
      </w:pPr>
    </w:p>
    <w:p w14:paraId="20000000">
      <w:pPr>
        <w:ind/>
        <w:contextualSpacing w:val="1"/>
        <w:jc w:val="both"/>
        <w:rPr>
          <w:rFonts w:ascii="Segoe UI" w:hAnsi="Segoe UI"/>
        </w:rPr>
      </w:pPr>
    </w:p>
    <w:p w14:paraId="21000000">
      <w:pPr>
        <w:ind/>
        <w:contextualSpacing w:val="1"/>
        <w:jc w:val="both"/>
        <w:rPr>
          <w:rFonts w:ascii="Segoe UI" w:hAnsi="Segoe UI"/>
        </w:rPr>
      </w:pPr>
    </w:p>
    <w:p w14:paraId="22000000">
      <w:pPr>
        <w:ind/>
        <w:contextualSpacing w:val="1"/>
        <w:jc w:val="both"/>
        <w:rPr>
          <w:rFonts w:ascii="Segoe UI" w:hAnsi="Segoe UI"/>
        </w:rPr>
      </w:pPr>
    </w:p>
    <w:p w14:paraId="23000000">
      <w:pPr>
        <w:ind/>
        <w:contextualSpacing w:val="1"/>
        <w:jc w:val="both"/>
        <w:rPr>
          <w:rFonts w:ascii="Segoe UI" w:hAnsi="Segoe UI"/>
        </w:rPr>
      </w:pPr>
    </w:p>
    <w:p w14:paraId="24000000">
      <w:pPr>
        <w:ind/>
        <w:contextualSpacing w:val="1"/>
        <w:jc w:val="both"/>
        <w:rPr>
          <w:rFonts w:ascii="Segoe UI" w:hAnsi="Segoe UI"/>
        </w:rPr>
      </w:pPr>
    </w:p>
    <w:p w14:paraId="25000000">
      <w:pPr>
        <w:ind/>
        <w:contextualSpacing w:val="1"/>
        <w:jc w:val="both"/>
        <w:rPr>
          <w:rFonts w:ascii="Segoe UI" w:hAnsi="Segoe UI"/>
        </w:rPr>
      </w:pPr>
    </w:p>
    <w:p w14:paraId="26000000">
      <w:pPr>
        <w:ind/>
        <w:contextualSpacing w:val="1"/>
        <w:jc w:val="both"/>
        <w:rPr>
          <w:rFonts w:ascii="Segoe UI" w:hAnsi="Segoe UI"/>
        </w:rPr>
      </w:pPr>
    </w:p>
    <w:p w14:paraId="27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28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29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2A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2B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2C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https://www.rosreestr.ru/</w:t>
      </w:r>
    </w:p>
    <w:p w14:paraId="2D000000">
      <w:pPr>
        <w:ind/>
        <w:contextualSpacing w:val="1"/>
        <w:jc w:val="both"/>
        <w:rPr>
          <w:rFonts w:ascii="Segoe UI" w:hAnsi="Segoe UI"/>
          <w:color w:val="2A2625"/>
        </w:rPr>
      </w:pPr>
    </w:p>
    <w:sectPr>
      <w:pgSz w:h="16838" w:w="11906"/>
      <w:pgMar w:bottom="851" w:footer="709" w:gutter="0" w:header="709" w:left="851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Balloon Text"/>
    <w:basedOn w:val="Style_1"/>
    <w:link w:val="Style_3_ch"/>
    <w:rPr>
      <w:rFonts w:ascii="Tahoma" w:hAnsi="Tahoma"/>
      <w:sz w:val="16"/>
    </w:rPr>
  </w:style>
  <w:style w:styleId="Style_3_ch" w:type="character">
    <w:name w:val="Balloon Text"/>
    <w:basedOn w:val="Style_1_ch"/>
    <w:link w:val="Style_3"/>
    <w:rPr>
      <w:rFonts w:ascii="Tahoma" w:hAnsi="Tahoma"/>
      <w:sz w:val="16"/>
    </w:rPr>
  </w:style>
  <w:style w:styleId="Style_4" w:type="paragraph">
    <w:name w:val="toc 4"/>
    <w:next w:val="Style_1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1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1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Emphasis"/>
    <w:link w:val="Style_7_ch"/>
    <w:rPr>
      <w:i w:val="1"/>
    </w:rPr>
  </w:style>
  <w:style w:styleId="Style_7_ch" w:type="character">
    <w:name w:val="Emphasis"/>
    <w:link w:val="Style_7"/>
    <w:rPr>
      <w:i w:val="1"/>
    </w:rPr>
  </w:style>
  <w:style w:styleId="Style_8" w:type="paragraph">
    <w:name w:val="heading 3"/>
    <w:next w:val="Style_1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ConsPlusNormal"/>
    <w:link w:val="Style_9_ch"/>
    <w:rPr>
      <w:sz w:val="26"/>
    </w:rPr>
  </w:style>
  <w:style w:styleId="Style_9_ch" w:type="character">
    <w:name w:val="ConsPlusNormal"/>
    <w:link w:val="Style_9"/>
    <w:rPr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1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Font Style12"/>
    <w:link w:val="Style_12_ch"/>
    <w:rPr>
      <w:rFonts w:ascii="Times New Roman" w:hAnsi="Times New Roman"/>
      <w:color w:val="000000"/>
      <w:sz w:val="26"/>
    </w:rPr>
  </w:style>
  <w:style w:styleId="Style_12_ch" w:type="character">
    <w:name w:val="Font Style12"/>
    <w:link w:val="Style_12"/>
    <w:rPr>
      <w:rFonts w:ascii="Times New Roman" w:hAnsi="Times New Roman"/>
      <w:color w:val="000000"/>
      <w:sz w:val="26"/>
    </w:rPr>
  </w:style>
  <w:style w:styleId="Style_13" w:type="paragraph">
    <w:name w:val="heading 5"/>
    <w:next w:val="Style_1"/>
    <w:link w:val="Style_13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3_ch" w:type="character">
    <w:name w:val="heading 5"/>
    <w:link w:val="Style_13"/>
    <w:rPr>
      <w:rFonts w:ascii="XO Thames" w:hAnsi="XO Thames"/>
      <w:b w:val="1"/>
      <w:color w:val="000000"/>
      <w:sz w:val="22"/>
    </w:rPr>
  </w:style>
  <w:style w:styleId="Style_14" w:type="paragraph">
    <w:name w:val="heading 1"/>
    <w:basedOn w:val="Style_1"/>
    <w:link w:val="Style_14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4_ch" w:type="character">
    <w:name w:val="heading 1"/>
    <w:basedOn w:val="Style_1_ch"/>
    <w:link w:val="Style_14"/>
    <w:rPr>
      <w:b w:val="1"/>
      <w:sz w:val="48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/>
      <w:jc w:val="left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1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Normal (Web)"/>
    <w:basedOn w:val="Style_1"/>
    <w:link w:val="Style_18_ch"/>
    <w:pPr>
      <w:spacing w:afterAutospacing="on" w:beforeAutospacing="on"/>
      <w:ind/>
    </w:pPr>
  </w:style>
  <w:style w:styleId="Style_18_ch" w:type="character">
    <w:name w:val="Normal (Web)"/>
    <w:basedOn w:val="Style_1_ch"/>
    <w:link w:val="Style_18"/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1"/>
    <w:link w:val="Style_20_ch"/>
    <w:uiPriority w:val="39"/>
    <w:pPr>
      <w:ind w:firstLine="0" w:left="1600"/>
    </w:pPr>
  </w:style>
  <w:style w:styleId="Style_20_ch" w:type="character">
    <w:name w:val="toc 9"/>
    <w:link w:val="Style_20"/>
  </w:style>
  <w:style w:styleId="Style_21" w:type="paragraph">
    <w:name w:val="toc 8"/>
    <w:next w:val="Style_1"/>
    <w:link w:val="Style_21_ch"/>
    <w:uiPriority w:val="39"/>
    <w:pPr>
      <w:ind w:firstLine="0" w:left="1400"/>
    </w:pPr>
  </w:style>
  <w:style w:styleId="Style_21_ch" w:type="character">
    <w:name w:val="toc 8"/>
    <w:link w:val="Style_21"/>
  </w:style>
  <w:style w:styleId="Style_22" w:type="paragraph">
    <w:name w:val="List Paragraph"/>
    <w:basedOn w:val="Style_1"/>
    <w:link w:val="Style_22_ch"/>
    <w:pPr>
      <w:ind w:firstLine="0" w:left="720"/>
      <w:contextualSpacing w:val="1"/>
    </w:pPr>
  </w:style>
  <w:style w:styleId="Style_22_ch" w:type="character">
    <w:name w:val="List Paragraph"/>
    <w:basedOn w:val="Style_1_ch"/>
    <w:link w:val="Style_22"/>
  </w:style>
  <w:style w:styleId="Style_23" w:type="paragraph">
    <w:name w:val="toc 5"/>
    <w:next w:val="Style_1"/>
    <w:link w:val="Style_23_ch"/>
    <w:uiPriority w:val="39"/>
    <w:pPr>
      <w:ind w:firstLine="0" w:left="800"/>
    </w:pPr>
  </w:style>
  <w:style w:styleId="Style_23_ch" w:type="character">
    <w:name w:val="toc 5"/>
    <w:link w:val="Style_23"/>
  </w:style>
  <w:style w:styleId="Style_24" w:type="paragraph">
    <w:name w:val="List Bullet 2"/>
    <w:basedOn w:val="Style_1"/>
    <w:link w:val="Style_24_ch"/>
    <w:pPr>
      <w:ind w:firstLine="748"/>
      <w:jc w:val="both"/>
    </w:pPr>
    <w:rPr>
      <w:sz w:val="26"/>
    </w:rPr>
  </w:style>
  <w:style w:styleId="Style_24_ch" w:type="character">
    <w:name w:val="List Bullet 2"/>
    <w:basedOn w:val="Style_1_ch"/>
    <w:link w:val="Style_24"/>
    <w:rPr>
      <w:sz w:val="26"/>
    </w:rPr>
  </w:style>
  <w:style w:styleId="Style_25" w:type="paragraph">
    <w:name w:val="Subtitle"/>
    <w:next w:val="Style_1"/>
    <w:link w:val="Style_25_ch"/>
    <w:uiPriority w:val="11"/>
    <w:qFormat/>
    <w:rPr>
      <w:rFonts w:ascii="XO Thames" w:hAnsi="XO Thames"/>
      <w:i w:val="1"/>
      <w:color w:val="616161"/>
      <w:sz w:val="24"/>
    </w:rPr>
  </w:style>
  <w:style w:styleId="Style_25_ch" w:type="character">
    <w:name w:val="Subtitle"/>
    <w:link w:val="Style_25"/>
    <w:rPr>
      <w:rFonts w:ascii="XO Thames" w:hAnsi="XO Thames"/>
      <w:i w:val="1"/>
      <w:color w:val="616161"/>
      <w:sz w:val="24"/>
    </w:rPr>
  </w:style>
  <w:style w:styleId="Style_26" w:type="paragraph">
    <w:name w:val="toc 10"/>
    <w:next w:val="Style_1"/>
    <w:link w:val="Style_26_ch"/>
    <w:uiPriority w:val="39"/>
    <w:pPr>
      <w:ind w:firstLine="0" w:left="1800"/>
    </w:pPr>
  </w:style>
  <w:style w:styleId="Style_26_ch" w:type="character">
    <w:name w:val="toc 10"/>
    <w:link w:val="Style_26"/>
  </w:style>
  <w:style w:styleId="Style_27" w:type="paragraph">
    <w:name w:val="Title"/>
    <w:basedOn w:val="Style_1"/>
    <w:link w:val="Style_27_ch"/>
    <w:uiPriority w:val="10"/>
    <w:qFormat/>
    <w:pPr>
      <w:ind/>
      <w:jc w:val="center"/>
    </w:pPr>
    <w:rPr>
      <w:sz w:val="28"/>
    </w:rPr>
  </w:style>
  <w:style w:styleId="Style_27_ch" w:type="character">
    <w:name w:val="Title"/>
    <w:basedOn w:val="Style_1_ch"/>
    <w:link w:val="Style_27"/>
    <w:rPr>
      <w:sz w:val="28"/>
    </w:rPr>
  </w:style>
  <w:style w:styleId="Style_28" w:type="paragraph">
    <w:name w:val="heading 4"/>
    <w:next w:val="Style_1"/>
    <w:link w:val="Style_28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8_ch" w:type="character">
    <w:name w:val="heading 4"/>
    <w:link w:val="Style_28"/>
    <w:rPr>
      <w:rFonts w:ascii="XO Thames" w:hAnsi="XO Thames"/>
      <w:b w:val="1"/>
      <w:color w:val="595959"/>
      <w:sz w:val="26"/>
    </w:rPr>
  </w:style>
  <w:style w:styleId="Style_29" w:type="paragraph">
    <w:name w:val="heading 2"/>
    <w:next w:val="Style_1"/>
    <w:link w:val="Style_29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9_ch" w:type="character">
    <w:name w:val="heading 2"/>
    <w:link w:val="Style_29"/>
    <w:rPr>
      <w:rFonts w:ascii="XO Thames" w:hAnsi="XO Thames"/>
      <w:b w:val="1"/>
      <w:color w:val="00A0FF"/>
      <w:sz w:val="26"/>
    </w:rPr>
  </w:style>
  <w:style w:styleId="Style_30" w:type="paragraph">
    <w:name w:val="Body Text Indent 2"/>
    <w:basedOn w:val="Style_1"/>
    <w:link w:val="Style_30_ch"/>
    <w:pPr>
      <w:ind w:firstLine="480"/>
      <w:jc w:val="both"/>
    </w:pPr>
    <w:rPr>
      <w:sz w:val="28"/>
    </w:rPr>
  </w:style>
  <w:style w:styleId="Style_30_ch" w:type="character">
    <w:name w:val="Body Text Indent 2"/>
    <w:basedOn w:val="Style_1_ch"/>
    <w:link w:val="Style_30"/>
    <w:rPr>
      <w:sz w:val="28"/>
    </w:r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2021-12-23T13:39:25Z</dcterms:modified>
</cp:coreProperties>
</file>